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0716"/>
      </w:tblGrid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 w14:paraId="13000000">
            <w:pPr>
              <w:pStyle w:val="Style_1"/>
            </w:pPr>
          </w:p>
        </w:tc>
      </w:tr>
      <w:tr>
        <w:trPr>
          <w:trHeight w:hRule="exact" w:val="8335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4000000">
            <w:pPr>
              <w:pStyle w:val="Style_1"/>
              <w:widowControl w:val="1"/>
              <w:ind/>
              <w:jc w:val="center"/>
            </w:pPr>
            <w:r>
              <w:rPr>
                <w:sz w:val="48"/>
              </w:rPr>
              <w:t>&lt;Письмо&gt; Минпросвещения России от 19.12.2025 N ВЖ-2479/08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направлении типовых инструкций"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(вместе с "Типовой инструкцией для руководителя организации, осуществляющей образовательную деятельность, по действиям в случае возникновения конфликтной ситуации у педагогического работника с участниками образовательных отношений", "Типовой инструкцией как остановить агрессивное поведение: действия педагога")</w:t>
            </w:r>
          </w:p>
        </w:tc>
      </w:tr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5000000">
            <w:pPr>
              <w:pStyle w:val="Style_1"/>
              <w:widowControl w:val="1"/>
              <w:ind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rPr>
                <w:b w:val="1"/>
                <w:color w:val="0000FF"/>
                <w:sz w:val="28"/>
              </w:rPr>
              <w:fldChar w:fldCharType="begin"/>
            </w:r>
            <w:r>
              <w:rPr>
                <w:b w:val="1"/>
                <w:color w:val="0000FF"/>
                <w:sz w:val="28"/>
              </w:rPr>
              <w:instrText>HYPERLINK "https://www.consultant.ru" \o "Ссылка на КонсультантПлюс"</w:instrText>
            </w:r>
            <w:r>
              <w:rPr>
                <w:b w:val="1"/>
                <w:color w:val="0000FF"/>
                <w:sz w:val="28"/>
              </w:rPr>
              <w:fldChar w:fldCharType="separate"/>
            </w:r>
            <w:r>
              <w:rPr>
                <w:b w:val="1"/>
                <w:color w:val="0000FF"/>
                <w:sz w:val="28"/>
              </w:rPr>
              <w:t>КонсультантПлюс</w:t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t>www.consultant.ru</w:t>
            </w:r>
            <w:r>
              <w:rPr>
                <w:b w:val="1"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Дата сохранения: 08.06.2026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14:paraId="16000000">
      <w:pPr>
        <w:sectPr>
          <w:pgSz w:h="16838" w:orient="portrait" w:w="11906"/>
          <w:pgMar w:bottom="841" w:footer="0" w:gutter="0" w:header="0" w:left="595" w:right="595" w:top="841"/>
          <w:titlePg/>
        </w:sectPr>
      </w:pPr>
    </w:p>
    <w:p w14:paraId="17000000">
      <w:pPr>
        <w:pStyle w:val="Style_2"/>
        <w:widowControl w:val="1"/>
        <w:ind/>
        <w:jc w:val="both"/>
        <w:outlineLvl w:val="0"/>
      </w:pPr>
    </w:p>
    <w:p w14:paraId="18000000">
      <w:pPr>
        <w:pStyle w:val="Style_3"/>
        <w:widowControl w:val="1"/>
        <w:ind/>
        <w:jc w:val="center"/>
        <w:outlineLvl w:val="0"/>
      </w:pPr>
      <w:r>
        <w:rPr>
          <w:sz w:val="24"/>
        </w:rPr>
        <w:t>МИНИСТЕРСТВО ПРОСВЕЩЕНИЯ РОССИЙСКОЙ ФЕДЕРАЦИИ</w:t>
      </w:r>
    </w:p>
    <w:p w14:paraId="19000000">
      <w:pPr>
        <w:pStyle w:val="Style_3"/>
        <w:widowControl w:val="1"/>
        <w:ind/>
        <w:jc w:val="center"/>
      </w:pPr>
    </w:p>
    <w:p w14:paraId="1A000000">
      <w:pPr>
        <w:pStyle w:val="Style_3"/>
        <w:widowControl w:val="1"/>
        <w:ind/>
        <w:jc w:val="center"/>
      </w:pPr>
      <w:r>
        <w:rPr>
          <w:sz w:val="24"/>
        </w:rPr>
        <w:t>ПИСЬМО</w:t>
      </w:r>
    </w:p>
    <w:p w14:paraId="1B000000">
      <w:pPr>
        <w:pStyle w:val="Style_3"/>
        <w:widowControl w:val="1"/>
        <w:ind/>
        <w:jc w:val="center"/>
      </w:pPr>
      <w:r>
        <w:rPr>
          <w:sz w:val="24"/>
        </w:rPr>
        <w:t>от 19 декабря 2025 г. N ВЖ-2479/08</w:t>
      </w:r>
    </w:p>
    <w:p w14:paraId="1C000000">
      <w:pPr>
        <w:pStyle w:val="Style_3"/>
        <w:widowControl w:val="1"/>
        <w:ind/>
        <w:jc w:val="center"/>
      </w:pPr>
    </w:p>
    <w:p w14:paraId="1D000000">
      <w:pPr>
        <w:pStyle w:val="Style_3"/>
        <w:widowControl w:val="1"/>
        <w:ind/>
        <w:jc w:val="center"/>
      </w:pPr>
      <w:r>
        <w:rPr>
          <w:sz w:val="24"/>
        </w:rPr>
        <w:t>О НАПРАВЛЕНИИ ТИПОВЫХ ИНСТРУКЦИЙ</w:t>
      </w:r>
    </w:p>
    <w:p w14:paraId="1E000000">
      <w:pPr>
        <w:pStyle w:val="Style_2"/>
        <w:widowControl w:val="1"/>
        <w:ind/>
        <w:jc w:val="center"/>
      </w:pPr>
    </w:p>
    <w:p w14:paraId="1F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Минпросвещения России в рамках проводимой работы Совета Министерства просвещения Российской Федерации по защите профессиональной чести и достоинства педагогических работников (далее - Совет) были разработаны и одобрены Советом типовые </w:t>
      </w:r>
      <w:r>
        <w:rPr>
          <w:sz w:val="24"/>
        </w:rPr>
        <w:t>инструкции</w:t>
      </w:r>
      <w:r>
        <w:rPr>
          <w:sz w:val="24"/>
        </w:rPr>
        <w:t xml:space="preserve"> в случае возникновения конфликтной ситуации у педагогического работника с участниками образовательных отношений для руководителей образовательных организаций и педагогических работников (далее - Инструкции).</w:t>
      </w:r>
    </w:p>
    <w:p w14:paraId="2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Минпросвещения России просит учесть </w:t>
      </w:r>
      <w:r>
        <w:rPr>
          <w:sz w:val="24"/>
        </w:rPr>
        <w:t>Инструкции</w:t>
      </w:r>
      <w:r>
        <w:rPr>
          <w:sz w:val="24"/>
        </w:rPr>
        <w:t xml:space="preserve"> в работе региональных комиссий по защите профессиональной чести и достоинства педагогических работников и довести их до каждой общеобразовательной организации и участников образовательных отношений.</w:t>
      </w:r>
    </w:p>
    <w:p w14:paraId="21000000">
      <w:pPr>
        <w:pStyle w:val="Style_2"/>
        <w:widowControl w:val="1"/>
        <w:ind w:firstLine="540"/>
        <w:jc w:val="both"/>
      </w:pPr>
    </w:p>
    <w:p w14:paraId="22000000">
      <w:pPr>
        <w:pStyle w:val="Style_2"/>
        <w:widowControl w:val="1"/>
        <w:ind/>
        <w:jc w:val="right"/>
      </w:pPr>
      <w:r>
        <w:rPr>
          <w:sz w:val="24"/>
        </w:rPr>
        <w:t>В.Б.ЖЕЛОНКИН</w:t>
      </w:r>
    </w:p>
    <w:p w14:paraId="23000000">
      <w:pPr>
        <w:pStyle w:val="Style_2"/>
        <w:widowControl w:val="1"/>
        <w:ind/>
        <w:jc w:val="both"/>
      </w:pPr>
    </w:p>
    <w:p w14:paraId="24000000">
      <w:pPr>
        <w:pStyle w:val="Style_2"/>
        <w:widowControl w:val="1"/>
        <w:ind/>
        <w:jc w:val="both"/>
      </w:pPr>
    </w:p>
    <w:p w14:paraId="25000000">
      <w:pPr>
        <w:pStyle w:val="Style_2"/>
        <w:widowControl w:val="1"/>
        <w:ind/>
        <w:jc w:val="both"/>
      </w:pPr>
    </w:p>
    <w:p w14:paraId="26000000">
      <w:pPr>
        <w:pStyle w:val="Style_2"/>
        <w:widowControl w:val="1"/>
        <w:ind/>
        <w:jc w:val="both"/>
      </w:pPr>
    </w:p>
    <w:p w14:paraId="27000000">
      <w:pPr>
        <w:pStyle w:val="Style_2"/>
        <w:widowControl w:val="1"/>
        <w:ind/>
        <w:jc w:val="both"/>
      </w:pPr>
    </w:p>
    <w:p w14:paraId="28000000">
      <w:pPr>
        <w:pStyle w:val="Style_2"/>
        <w:widowControl w:val="1"/>
        <w:ind/>
        <w:jc w:val="right"/>
        <w:outlineLvl w:val="0"/>
      </w:pPr>
      <w:r>
        <w:rPr>
          <w:sz w:val="24"/>
        </w:rPr>
        <w:t>Рекомендовано</w:t>
      </w:r>
    </w:p>
    <w:p w14:paraId="29000000">
      <w:pPr>
        <w:pStyle w:val="Style_2"/>
        <w:widowControl w:val="1"/>
        <w:ind/>
        <w:jc w:val="right"/>
      </w:pPr>
      <w:r>
        <w:rPr>
          <w:sz w:val="24"/>
        </w:rPr>
        <w:t>Советом Министерства просвещения</w:t>
      </w:r>
    </w:p>
    <w:p w14:paraId="2A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2B000000">
      <w:pPr>
        <w:pStyle w:val="Style_2"/>
        <w:widowControl w:val="1"/>
        <w:ind/>
        <w:jc w:val="right"/>
      </w:pPr>
      <w:r>
        <w:rPr>
          <w:sz w:val="24"/>
        </w:rPr>
        <w:t>по защите профессиональной</w:t>
      </w:r>
    </w:p>
    <w:p w14:paraId="2C000000">
      <w:pPr>
        <w:pStyle w:val="Style_2"/>
        <w:widowControl w:val="1"/>
        <w:ind/>
        <w:jc w:val="right"/>
      </w:pPr>
      <w:r>
        <w:rPr>
          <w:sz w:val="24"/>
        </w:rPr>
        <w:t>чести и достоинства</w:t>
      </w:r>
    </w:p>
    <w:p w14:paraId="2D000000">
      <w:pPr>
        <w:pStyle w:val="Style_2"/>
        <w:widowControl w:val="1"/>
        <w:ind/>
        <w:jc w:val="right"/>
      </w:pPr>
      <w:r>
        <w:rPr>
          <w:sz w:val="24"/>
        </w:rPr>
        <w:t>педагогических работников</w:t>
      </w:r>
    </w:p>
    <w:p w14:paraId="2E000000">
      <w:pPr>
        <w:pStyle w:val="Style_2"/>
        <w:widowControl w:val="1"/>
        <w:ind/>
        <w:jc w:val="both"/>
      </w:pPr>
    </w:p>
    <w:p w14:paraId="2F000000">
      <w:pPr>
        <w:pStyle w:val="Style_3"/>
        <w:widowControl w:val="1"/>
        <w:ind/>
        <w:jc w:val="center"/>
      </w:pPr>
      <w:r>
        <w:rPr>
          <w:sz w:val="24"/>
        </w:rPr>
        <w:t>ТИПОВАЯ ИНСТРУКЦИЯ</w:t>
      </w:r>
    </w:p>
    <w:p w14:paraId="30000000">
      <w:pPr>
        <w:pStyle w:val="Style_3"/>
        <w:widowControl w:val="1"/>
        <w:ind/>
        <w:jc w:val="center"/>
      </w:pPr>
      <w:r>
        <w:rPr>
          <w:sz w:val="24"/>
        </w:rPr>
        <w:t>ДЛЯ РУКОВОДИТЕЛЯ ОРГАНИЗАЦИИ, ОСУЩЕСТВЛЯЮЩЕЙ ОБРАЗОВАТЕЛЬНУЮ</w:t>
      </w:r>
    </w:p>
    <w:p w14:paraId="31000000">
      <w:pPr>
        <w:pStyle w:val="Style_3"/>
        <w:widowControl w:val="1"/>
        <w:ind/>
        <w:jc w:val="center"/>
      </w:pPr>
      <w:r>
        <w:rPr>
          <w:sz w:val="24"/>
        </w:rPr>
        <w:t>ДЕЯТЕЛЬНОСТЬ, ПО ДЕЙСТВИЯМ В СЛУЧАЕ ВОЗНИКНОВЕНИЯ</w:t>
      </w:r>
    </w:p>
    <w:p w14:paraId="32000000">
      <w:pPr>
        <w:pStyle w:val="Style_3"/>
        <w:widowControl w:val="1"/>
        <w:ind/>
        <w:jc w:val="center"/>
      </w:pPr>
      <w:r>
        <w:rPr>
          <w:sz w:val="24"/>
        </w:rPr>
        <w:t>КОНФЛИКТНОЙ СИТУАЦИИ У ПЕДАГОГИЧЕСКОГО РАБОТНИКА</w:t>
      </w:r>
    </w:p>
    <w:p w14:paraId="33000000">
      <w:pPr>
        <w:pStyle w:val="Style_3"/>
        <w:widowControl w:val="1"/>
        <w:ind/>
        <w:jc w:val="center"/>
      </w:pPr>
      <w:r>
        <w:rPr>
          <w:sz w:val="24"/>
        </w:rPr>
        <w:t>С УЧАСТНИКАМИ ОБРАЗОВАТЕЛЬНЫХ ОТНОШЕНИЙ</w:t>
      </w:r>
    </w:p>
    <w:p w14:paraId="34000000">
      <w:pPr>
        <w:pStyle w:val="Style_2"/>
        <w:widowControl w:val="1"/>
        <w:ind/>
        <w:jc w:val="both"/>
      </w:pPr>
    </w:p>
    <w:p w14:paraId="35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Типовая инструкция разработана в соответствии с Федеральным </w:t>
      </w:r>
      <w:r>
        <w:rPr>
          <w:sz w:val="24"/>
        </w:rPr>
        <w:t>законом</w:t>
      </w:r>
      <w:r>
        <w:rPr>
          <w:sz w:val="24"/>
        </w:rPr>
        <w:t xml:space="preserve"> от 29 декабря 2012 года N 273-ФЗ "Об образовании в Российской Федерации", а также в соответствии с Положением о Совете Минпросвещения России по защите профессиональной чести и достоинства педагогических работников, </w:t>
      </w:r>
      <w:r>
        <w:rPr>
          <w:sz w:val="24"/>
        </w:rPr>
        <w:t>Приказом</w:t>
      </w:r>
      <w:r>
        <w:rPr>
          <w:sz w:val="24"/>
        </w:rPr>
        <w:t xml:space="preserve"> Минпросвещения России от 27 марта 2025 г. N 243 "Об утверждении Порядка применения к обучающимся по образовательным программам основного общего образования, образовательным программам среднего общего образования,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обучающихся", </w:t>
      </w:r>
      <w:r>
        <w:rPr>
          <w:sz w:val="24"/>
        </w:rPr>
        <w:t>Приказом</w:t>
      </w:r>
      <w:r>
        <w:rPr>
          <w:sz w:val="24"/>
        </w:rPr>
        <w:t xml:space="preserve"> Минобрнауки России от 27 марта 2025 г. N 284 "Об утверждении Порядка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обучающихся", </w:t>
      </w:r>
      <w:r>
        <w:rPr>
          <w:sz w:val="24"/>
        </w:rPr>
        <w:t>письмом</w:t>
      </w:r>
      <w:r>
        <w:rPr>
          <w:sz w:val="24"/>
        </w:rPr>
        <w:t xml:space="preserve"> Министерства просвещения России N СК-1030/08, Общероссийского Профсоюза образования N 485 от 18 августа 2025 г. "О региональных комиссиях по защите профессиональной чести и достоинства педагогических работников", примерным </w:t>
      </w:r>
      <w:r>
        <w:rPr>
          <w:sz w:val="24"/>
        </w:rPr>
        <w:t>положением</w:t>
      </w:r>
      <w:r>
        <w:rPr>
          <w:sz w:val="24"/>
        </w:rPr>
        <w:t xml:space="preserve"> о комиссии по урегулированию споров между участниками образовательных отношений (утв. письмом Минпросвещения России N ВБ-107/08, Общероссийского Профсоюза образования N ВБ-107/08/634 от 19 ноября 2019 г.), </w:t>
      </w:r>
      <w:r>
        <w:rPr>
          <w:sz w:val="24"/>
        </w:rPr>
        <w:t>письмом</w:t>
      </w:r>
      <w:r>
        <w:rPr>
          <w:sz w:val="24"/>
        </w:rPr>
        <w:t xml:space="preserve"> Минпросвещения России от 23 августа 2021 г. N 07-4715 "О направлении методических рекомендаций" (вместе с "Примерным </w:t>
      </w:r>
      <w:r>
        <w:rPr>
          <w:sz w:val="24"/>
        </w:rPr>
        <w:t>положением</w:t>
      </w:r>
      <w:r>
        <w:rPr>
          <w:sz w:val="24"/>
        </w:rPr>
        <w:t xml:space="preserve"> об учете отдельных категорий несовершеннолетних в образовательных организациях").</w:t>
      </w:r>
    </w:p>
    <w:p w14:paraId="36000000">
      <w:pPr>
        <w:pStyle w:val="Style_2"/>
        <w:widowControl w:val="1"/>
        <w:ind/>
        <w:jc w:val="both"/>
      </w:pPr>
    </w:p>
    <w:p w14:paraId="37000000">
      <w:pPr>
        <w:pStyle w:val="Style_3"/>
        <w:widowControl w:val="1"/>
        <w:ind w:firstLine="540"/>
        <w:jc w:val="both"/>
        <w:outlineLvl w:val="1"/>
      </w:pPr>
      <w:r>
        <w:rPr>
          <w:sz w:val="24"/>
        </w:rPr>
        <w:t>1. Цели и задачи инструкции</w:t>
      </w:r>
    </w:p>
    <w:p w14:paraId="3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1.1. Обеспечить оперативное, справедливое, всестороннее и законное урегулирование конфликтов.</w:t>
      </w:r>
    </w:p>
    <w:p w14:paraId="3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1.2. Защитить честь и достоинство педагогических работников.</w:t>
      </w:r>
    </w:p>
    <w:p w14:paraId="3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1.3. Соблюдать требования Федерального </w:t>
      </w:r>
      <w:r>
        <w:rPr>
          <w:sz w:val="24"/>
        </w:rPr>
        <w:t>закона</w:t>
      </w:r>
      <w:r>
        <w:rPr>
          <w:sz w:val="24"/>
        </w:rPr>
        <w:t xml:space="preserve"> N 273-ФЗ "Об образовании в РФ".</w:t>
      </w:r>
    </w:p>
    <w:p w14:paraId="3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1.4. Предусмотреть понятный алгоритм действий для организации, осуществляющей образовательную деятельность, как одного из участников образовательных отношений.</w:t>
      </w:r>
    </w:p>
    <w:p w14:paraId="3C000000">
      <w:pPr>
        <w:pStyle w:val="Style_2"/>
        <w:widowControl w:val="1"/>
        <w:ind/>
        <w:jc w:val="both"/>
      </w:pPr>
    </w:p>
    <w:p w14:paraId="3D000000">
      <w:pPr>
        <w:pStyle w:val="Style_3"/>
        <w:widowControl w:val="1"/>
        <w:ind w:firstLine="540"/>
        <w:jc w:val="both"/>
        <w:outlineLvl w:val="1"/>
      </w:pPr>
      <w:r>
        <w:rPr>
          <w:sz w:val="24"/>
        </w:rPr>
        <w:t>2. Общие принципы</w:t>
      </w:r>
    </w:p>
    <w:p w14:paraId="3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2.1 Объективность, беспристрастность, презумпция добросовестности сторон.</w:t>
      </w:r>
    </w:p>
    <w:p w14:paraId="3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2.2 Конфиденциальность и защита персональных данных.</w:t>
      </w:r>
    </w:p>
    <w:p w14:paraId="4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2.3 Документирование всех этапов.</w:t>
      </w:r>
    </w:p>
    <w:p w14:paraId="4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2.4 Обязательное первичное рассмотрение конфликтных ситуаций на уровне образовательной организации через комиссию по урегулированию споров между участниками образовательных отношений.</w:t>
      </w:r>
    </w:p>
    <w:p w14:paraId="4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2.5 Возможность дальнейшего рассмотрения вопроса на уровне региональной комиссии по защите чести и достоинства педагогов в случае необходимости.</w:t>
      </w:r>
    </w:p>
    <w:p w14:paraId="43000000">
      <w:pPr>
        <w:pStyle w:val="Style_2"/>
        <w:widowControl w:val="1"/>
        <w:ind/>
        <w:jc w:val="both"/>
      </w:pPr>
    </w:p>
    <w:p w14:paraId="44000000">
      <w:pPr>
        <w:pStyle w:val="Style_3"/>
        <w:widowControl w:val="1"/>
        <w:ind w:firstLine="540"/>
        <w:jc w:val="both"/>
        <w:outlineLvl w:val="1"/>
      </w:pPr>
      <w:r>
        <w:rPr>
          <w:sz w:val="24"/>
        </w:rPr>
        <w:t>3. Распределение ролей</w:t>
      </w:r>
    </w:p>
    <w:p w14:paraId="45000000">
      <w:pPr>
        <w:pStyle w:val="Style_2"/>
        <w:widowControl w:val="1"/>
        <w:ind/>
        <w:jc w:val="both"/>
      </w:pPr>
    </w:p>
    <w:tbl>
      <w:tblPr>
        <w:tblW w:type="auto" w:w="0"/>
        <w:tblInd w:type="dxa" w:w="0"/>
        <w:tblBorders>
          <w:insideV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2835"/>
        <w:gridCol w:w="3061"/>
        <w:gridCol w:w="3175"/>
      </w:tblGrid>
      <w:tr>
        <w:tc>
          <w:tcPr>
            <w:tcW w:type="dxa" w:w="2835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Роль</w:t>
            </w:r>
          </w:p>
        </w:tc>
        <w:tc>
          <w:tcPr>
            <w:tcW w:type="dxa" w:w="3061"/>
            <w:tcBorders>
              <w:top w:sz="4" w:val="nil"/>
              <w:left w:sz="4" w:val="single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7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type="dxa" w:w="3175"/>
            <w:tcBorders>
              <w:top w:sz="4" w:val="nil"/>
              <w:left w:sz="4" w:val="single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8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Функции</w:t>
            </w:r>
          </w:p>
        </w:tc>
      </w:tr>
      <w:tr>
        <w:tc>
          <w:tcPr>
            <w:tcW w:type="dxa" w:w="2835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9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Директор</w:t>
            </w:r>
          </w:p>
        </w:tc>
        <w:tc>
          <w:tcPr>
            <w:tcW w:type="dxa" w:w="3061"/>
            <w:tcBorders>
              <w:top w:sz="4" w:val="nil"/>
              <w:left w:sz="4" w:val="single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A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Руководитель ОО</w:t>
            </w:r>
          </w:p>
        </w:tc>
        <w:tc>
          <w:tcPr>
            <w:tcW w:type="dxa" w:w="3175"/>
            <w:tcBorders>
              <w:top w:sz="4" w:val="nil"/>
              <w:left w:sz="4" w:val="single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B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Инициирует процесс, принимает решения, контролирует исполнение</w:t>
            </w:r>
          </w:p>
        </w:tc>
      </w:tr>
      <w:tr>
        <w:tc>
          <w:tcPr>
            <w:tcW w:type="dxa" w:w="2835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C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Ответственный за прием, регистрацию и рассмотрение обращения</w:t>
            </w:r>
          </w:p>
        </w:tc>
        <w:tc>
          <w:tcPr>
            <w:tcW w:type="dxa" w:w="3061"/>
            <w:tcBorders>
              <w:top w:sz="4" w:val="nil"/>
              <w:left w:sz="4" w:val="single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D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Заместитель руководителя</w:t>
            </w:r>
          </w:p>
        </w:tc>
        <w:tc>
          <w:tcPr>
            <w:tcW w:type="dxa" w:w="3175"/>
            <w:tcBorders>
              <w:top w:sz="4" w:val="nil"/>
              <w:left w:sz="4" w:val="single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E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Регистрация обращений, сбор документов, координация</w:t>
            </w:r>
          </w:p>
        </w:tc>
      </w:tr>
      <w:tr>
        <w:tc>
          <w:tcPr>
            <w:tcW w:type="dxa" w:w="2835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F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Комиссия по урегулированию споров</w:t>
            </w:r>
          </w:p>
        </w:tc>
        <w:tc>
          <w:tcPr>
            <w:tcW w:type="dxa" w:w="3061"/>
            <w:tcBorders>
              <w:top w:sz="4" w:val="nil"/>
              <w:left w:sz="4" w:val="single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0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Члены Комиссии</w:t>
            </w:r>
          </w:p>
          <w:p w14:paraId="51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(согласно локальному акту образовательной организации)</w:t>
            </w:r>
          </w:p>
        </w:tc>
        <w:tc>
          <w:tcPr>
            <w:tcW w:type="dxa" w:w="3175"/>
            <w:tcBorders>
              <w:top w:sz="4" w:val="nil"/>
              <w:left w:sz="4" w:val="single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2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Всестороннее рассмотрение конфликта, вынесение решения</w:t>
            </w:r>
          </w:p>
        </w:tc>
      </w:tr>
      <w:tr>
        <w:tc>
          <w:tcPr>
            <w:tcW w:type="dxa" w:w="2835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3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Профсоюз/юристы</w:t>
            </w:r>
          </w:p>
        </w:tc>
        <w:tc>
          <w:tcPr>
            <w:tcW w:type="dxa" w:w="3061"/>
            <w:tcBorders>
              <w:top w:sz="4" w:val="nil"/>
              <w:left w:sz="4" w:val="single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4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Представители профсоюза или юридической службы</w:t>
            </w:r>
          </w:p>
        </w:tc>
        <w:tc>
          <w:tcPr>
            <w:tcW w:type="dxa" w:w="3175"/>
            <w:tcBorders>
              <w:top w:sz="4" w:val="nil"/>
              <w:left w:sz="4" w:val="single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5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Защита прав и представление интересов педагога, консультации</w:t>
            </w:r>
          </w:p>
        </w:tc>
      </w:tr>
      <w:tr>
        <w:tc>
          <w:tcPr>
            <w:tcW w:type="dxa" w:w="2835"/>
            <w:tcBorders>
              <w:top w:sz="4" w:val="nil"/>
              <w:left w:sz="4" w:val="nil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6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Региональная комиссия</w:t>
            </w:r>
          </w:p>
        </w:tc>
        <w:tc>
          <w:tcPr>
            <w:tcW w:type="dxa" w:w="3061"/>
            <w:tcBorders>
              <w:top w:sz="4" w:val="nil"/>
              <w:left w:sz="4" w:val="single"/>
              <w:bottom w:sz="4" w:val="nil"/>
              <w:right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7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Согласно положению о Комиссии</w:t>
            </w:r>
          </w:p>
        </w:tc>
        <w:tc>
          <w:tcPr>
            <w:tcW w:type="dxa" w:w="3175"/>
            <w:tcBorders>
              <w:top w:sz="4" w:val="nil"/>
              <w:left w:sz="4" w:val="single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8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Рассмотрение спорных случаев, рекомендации</w:t>
            </w:r>
          </w:p>
        </w:tc>
      </w:tr>
    </w:tbl>
    <w:p w14:paraId="59000000">
      <w:pPr>
        <w:pStyle w:val="Style_2"/>
        <w:widowControl w:val="1"/>
        <w:ind/>
        <w:jc w:val="both"/>
      </w:pPr>
    </w:p>
    <w:p w14:paraId="5A000000">
      <w:pPr>
        <w:pStyle w:val="Style_3"/>
        <w:widowControl w:val="1"/>
        <w:ind w:firstLine="540"/>
        <w:jc w:val="both"/>
        <w:outlineLvl w:val="1"/>
      </w:pPr>
      <w:r>
        <w:rPr>
          <w:sz w:val="24"/>
        </w:rPr>
        <w:t>4. Этапы реагирования</w:t>
      </w:r>
    </w:p>
    <w:p w14:paraId="5B000000">
      <w:pPr>
        <w:pStyle w:val="Style_2"/>
        <w:widowControl w:val="1"/>
        <w:ind/>
        <w:jc w:val="both"/>
      </w:pPr>
    </w:p>
    <w:p w14:paraId="5C000000">
      <w:pPr>
        <w:pStyle w:val="Style_3"/>
        <w:widowControl w:val="1"/>
        <w:ind w:firstLine="540"/>
        <w:jc w:val="both"/>
        <w:outlineLvl w:val="2"/>
      </w:pPr>
      <w:r>
        <w:rPr>
          <w:sz w:val="24"/>
        </w:rPr>
        <w:t>4.1 Этап 1. Прием обращения (день 1 - 2)</w:t>
      </w:r>
    </w:p>
    <w:p w14:paraId="5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4.1.1 Прием и регистрация обращения (рассмотрению подлежат как письменные, так и устные обращения).</w:t>
      </w:r>
    </w:p>
    <w:p w14:paraId="5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4.1.2 Доведение информации до руководителя образовательной организации.</w:t>
      </w:r>
    </w:p>
    <w:p w14:paraId="5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4.1.3 Издание руководителем распорядительного документа и назначение ответственного.</w:t>
      </w:r>
    </w:p>
    <w:p w14:paraId="6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4.1.4 Установление реальности факта произошедшего и участников события (пострадавший, участники, свидетели, родители (законные представители) и др.), опрос несовершеннолетних обучающихся проводится в присутствии родителей (законных представителей).</w:t>
      </w:r>
    </w:p>
    <w:p w14:paraId="6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4.1.5 Информирование вышестоящего органа управления образованием, правоохранительных органов, органов и учреждений системы профилактики безнадзорности и правонарушений несовершеннолетних о конфликте, если он повлек тяжелые последствия для пострадавшего, руководителя (представителя) органа местного самоуправления, осуществляющего управление в сфере образования (в случае происшествия конфликта в муниципальной образовательной ОО).</w:t>
      </w:r>
    </w:p>
    <w:p w14:paraId="6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4.1.6 Доведение информации о конфликте до законных представителей обучающегося, если одним из участников является обучающийся.</w:t>
      </w:r>
    </w:p>
    <w:p w14:paraId="63000000">
      <w:pPr>
        <w:pStyle w:val="Style_2"/>
        <w:widowControl w:val="1"/>
        <w:ind/>
        <w:jc w:val="both"/>
      </w:pPr>
    </w:p>
    <w:p w14:paraId="64000000">
      <w:pPr>
        <w:pStyle w:val="Style_3"/>
        <w:widowControl w:val="1"/>
        <w:ind w:firstLine="540"/>
        <w:jc w:val="both"/>
        <w:outlineLvl w:val="2"/>
      </w:pPr>
      <w:r>
        <w:rPr>
          <w:sz w:val="24"/>
        </w:rPr>
        <w:t>4.2 Этап 2. Сбор информации (день 2 - 5)</w:t>
      </w:r>
    </w:p>
    <w:p w14:paraId="6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4.2.1. Установление всех участников события (пострадавший, участники, свидетели, родители (законные представители) и др.).</w:t>
      </w:r>
    </w:p>
    <w:p w14:paraId="6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4.2.2. Выяснение обстоятельств произошедшего конфликта.</w:t>
      </w:r>
    </w:p>
    <w:p w14:paraId="6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4.2.3. Запрос необходимой информации у сторон конфликта.</w:t>
      </w:r>
    </w:p>
    <w:p w14:paraId="6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4.2.4. Сбор документов: объяснительных, медицинских справок (при необходимости), свидетельских показаний.</w:t>
      </w:r>
    </w:p>
    <w:p w14:paraId="6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4.2.5. Проверка локальных актов и возможного конфликта интересов.</w:t>
      </w:r>
    </w:p>
    <w:p w14:paraId="6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4.2.6. Анализ фактов на наличие нарушений.</w:t>
      </w:r>
    </w:p>
    <w:p w14:paraId="6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4.2.7. Встреча с участниками конфликта, получение объяснительных и необходимых характеристик.</w:t>
      </w:r>
    </w:p>
    <w:p w14:paraId="6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4.2.8. При необходимости привлечь к беседе с участниками конфликта психологическую службу (штатный педагог-психолог), службу медиации, председателя первичной профсоюзной организации.</w:t>
      </w:r>
    </w:p>
    <w:p w14:paraId="6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4.2.9. Установление виновной стороны конфликта и принятие к ней необходимых мер реагирования (воспитательных, организационных, дисциплинарных).</w:t>
      </w:r>
    </w:p>
    <w:p w14:paraId="6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4.2.10. Оформление принятых решений и направление их учредителю образовательной организации (при необходимости).</w:t>
      </w:r>
    </w:p>
    <w:p w14:paraId="6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4.2.11. В случае невозможности урегулирования конфликта в рамках текущего взаимодействия - инициировать обращение в комиссию по урегулированию споров между участниками образовательных отношений.</w:t>
      </w:r>
    </w:p>
    <w:p w14:paraId="70000000">
      <w:pPr>
        <w:pStyle w:val="Style_2"/>
        <w:widowControl w:val="1"/>
        <w:ind/>
        <w:jc w:val="both"/>
      </w:pPr>
    </w:p>
    <w:p w14:paraId="71000000">
      <w:pPr>
        <w:pStyle w:val="Style_3"/>
        <w:widowControl w:val="1"/>
        <w:ind w:firstLine="540"/>
        <w:jc w:val="both"/>
        <w:outlineLvl w:val="2"/>
      </w:pPr>
      <w:r>
        <w:rPr>
          <w:sz w:val="24"/>
        </w:rPr>
        <w:t>4.3 Этап 3. Заседание комиссии (день 5 - 8)</w:t>
      </w:r>
    </w:p>
    <w:p w14:paraId="72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4.3.1 Передача материалов в комиссию, назначение даты и времени заседания.</w:t>
      </w:r>
    </w:p>
    <w:p w14:paraId="7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4.3.2 Уведомление заинтересованных сторон о заседании.</w:t>
      </w:r>
    </w:p>
    <w:p w14:paraId="7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4.3.3 Процесс заседания комиссии, заслушивание сторон, третьих лиц, анализ доказательств.</w:t>
      </w:r>
    </w:p>
    <w:p w14:paraId="7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4.3.4 Приглашение свидетелей и специалистов (в необходимых случаях).</w:t>
      </w:r>
    </w:p>
    <w:p w14:paraId="7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4.3.5 Принятие решения и его оформление в письменной форме.</w:t>
      </w:r>
    </w:p>
    <w:p w14:paraId="77000000">
      <w:pPr>
        <w:pStyle w:val="Style_2"/>
        <w:widowControl w:val="1"/>
        <w:ind/>
        <w:jc w:val="both"/>
      </w:pPr>
    </w:p>
    <w:p w14:paraId="78000000">
      <w:pPr>
        <w:pStyle w:val="Style_3"/>
        <w:widowControl w:val="1"/>
        <w:ind w:firstLine="540"/>
        <w:jc w:val="both"/>
        <w:outlineLvl w:val="2"/>
      </w:pPr>
      <w:r>
        <w:rPr>
          <w:sz w:val="24"/>
        </w:rPr>
        <w:t>4.4 Этап 4. Исполнение решения (день 9 и далее)</w:t>
      </w:r>
    </w:p>
    <w:p w14:paraId="7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4.4.1 Руководитель/ответственный контролирует исполнение решения комиссии.</w:t>
      </w:r>
    </w:p>
    <w:p w14:paraId="7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4.4.2 Составление отчета о выполнении.</w:t>
      </w:r>
    </w:p>
    <w:p w14:paraId="7B000000">
      <w:pPr>
        <w:pStyle w:val="Style_2"/>
        <w:widowControl w:val="1"/>
        <w:ind/>
        <w:jc w:val="both"/>
      </w:pPr>
    </w:p>
    <w:p w14:paraId="7C000000">
      <w:pPr>
        <w:pStyle w:val="Style_3"/>
        <w:widowControl w:val="1"/>
        <w:ind w:firstLine="540"/>
        <w:jc w:val="both"/>
        <w:outlineLvl w:val="2"/>
      </w:pPr>
      <w:r>
        <w:rPr>
          <w:sz w:val="24"/>
        </w:rPr>
        <w:t>4.5 Этап 5. Обжалование</w:t>
      </w:r>
    </w:p>
    <w:p w14:paraId="7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4.5.1 Передача дела в региональную комиссию по защите чести и достоинства педагогов.</w:t>
      </w:r>
    </w:p>
    <w:p w14:paraId="7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4.5.2 Возможность обжалования решения во внешние органы (управление образованием, правоохранительные, следственные органы, суд).</w:t>
      </w:r>
    </w:p>
    <w:p w14:paraId="7F000000">
      <w:pPr>
        <w:pStyle w:val="Style_2"/>
        <w:widowControl w:val="1"/>
        <w:ind/>
        <w:jc w:val="both"/>
      </w:pPr>
    </w:p>
    <w:p w14:paraId="80000000">
      <w:pPr>
        <w:pStyle w:val="Style_3"/>
        <w:widowControl w:val="1"/>
        <w:ind w:firstLine="540"/>
        <w:jc w:val="both"/>
        <w:outlineLvl w:val="1"/>
      </w:pPr>
      <w:r>
        <w:rPr>
          <w:sz w:val="24"/>
        </w:rPr>
        <w:t>5. Примерное расписание действий</w:t>
      </w:r>
    </w:p>
    <w:p w14:paraId="81000000">
      <w:pPr>
        <w:pStyle w:val="Style_2"/>
        <w:widowControl w:val="1"/>
        <w:ind/>
        <w:jc w:val="both"/>
      </w:pPr>
    </w:p>
    <w:tbl>
      <w:tblPr>
        <w:tblW w:type="auto" w:w="0"/>
        <w:tblInd w:type="dxa" w:w="0"/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1984"/>
        <w:gridCol w:w="7087"/>
      </w:tblGrid>
      <w:tr>
        <w:tc>
          <w:tcPr>
            <w:tcW w:type="dxa" w:w="19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2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День</w:t>
            </w:r>
          </w:p>
        </w:tc>
        <w:tc>
          <w:tcPr>
            <w:tcW w:type="dxa" w:w="708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3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Действие</w:t>
            </w:r>
          </w:p>
        </w:tc>
      </w:tr>
      <w:tr>
        <w:tc>
          <w:tcPr>
            <w:tcW w:type="dxa" w:w="19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4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type="dxa" w:w="708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5000000">
            <w:pPr>
              <w:pStyle w:val="Style_2"/>
            </w:pPr>
            <w:r>
              <w:rPr>
                <w:sz w:val="24"/>
              </w:rPr>
              <w:t>Регистрация обращения, уведомление руководителя учреждения</w:t>
            </w:r>
          </w:p>
        </w:tc>
      </w:tr>
      <w:tr>
        <w:tc>
          <w:tcPr>
            <w:tcW w:type="dxa" w:w="19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6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2 - 4</w:t>
            </w:r>
          </w:p>
        </w:tc>
        <w:tc>
          <w:tcPr>
            <w:tcW w:type="dxa" w:w="708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7000000">
            <w:pPr>
              <w:pStyle w:val="Style_2"/>
            </w:pPr>
            <w:r>
              <w:rPr>
                <w:sz w:val="24"/>
              </w:rPr>
              <w:t>Сбор документов, объяснительных, опрос свидетелей</w:t>
            </w:r>
          </w:p>
        </w:tc>
      </w:tr>
      <w:tr>
        <w:tc>
          <w:tcPr>
            <w:tcW w:type="dxa" w:w="19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8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type="dxa" w:w="708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9000000">
            <w:pPr>
              <w:pStyle w:val="Style_2"/>
            </w:pPr>
            <w:r>
              <w:rPr>
                <w:sz w:val="24"/>
              </w:rPr>
              <w:t>Подготовка материалов, направление в комиссию</w:t>
            </w:r>
          </w:p>
        </w:tc>
      </w:tr>
      <w:tr>
        <w:tc>
          <w:tcPr>
            <w:tcW w:type="dxa" w:w="19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A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6 - 7</w:t>
            </w:r>
          </w:p>
        </w:tc>
        <w:tc>
          <w:tcPr>
            <w:tcW w:type="dxa" w:w="708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B000000">
            <w:pPr>
              <w:pStyle w:val="Style_2"/>
            </w:pPr>
            <w:r>
              <w:rPr>
                <w:sz w:val="24"/>
              </w:rPr>
              <w:t>Заседание комиссии, вынесение решения</w:t>
            </w:r>
          </w:p>
        </w:tc>
      </w:tr>
      <w:tr>
        <w:tc>
          <w:tcPr>
            <w:tcW w:type="dxa" w:w="19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C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type="dxa" w:w="708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D000000">
            <w:pPr>
              <w:pStyle w:val="Style_2"/>
            </w:pPr>
            <w:r>
              <w:rPr>
                <w:sz w:val="24"/>
              </w:rPr>
              <w:t>Уведомление сторон</w:t>
            </w:r>
          </w:p>
        </w:tc>
      </w:tr>
      <w:tr>
        <w:tc>
          <w:tcPr>
            <w:tcW w:type="dxa" w:w="19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E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9+</w:t>
            </w:r>
          </w:p>
        </w:tc>
        <w:tc>
          <w:tcPr>
            <w:tcW w:type="dxa" w:w="708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8F000000">
            <w:pPr>
              <w:pStyle w:val="Style_2"/>
            </w:pPr>
            <w:r>
              <w:rPr>
                <w:sz w:val="24"/>
              </w:rPr>
              <w:t>Исполнение решения, контроль выполнения</w:t>
            </w:r>
          </w:p>
        </w:tc>
      </w:tr>
      <w:tr>
        <w:tc>
          <w:tcPr>
            <w:tcW w:type="dxa" w:w="198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0000000">
            <w:pPr>
              <w:pStyle w:val="Style_2"/>
              <w:widowControl w:val="1"/>
              <w:ind/>
              <w:jc w:val="center"/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type="dxa" w:w="7087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91000000">
            <w:pPr>
              <w:pStyle w:val="Style_2"/>
            </w:pPr>
            <w:r>
              <w:rPr>
                <w:sz w:val="24"/>
              </w:rPr>
              <w:t>Передача дела на региональный уровень</w:t>
            </w:r>
          </w:p>
        </w:tc>
      </w:tr>
    </w:tbl>
    <w:p w14:paraId="92000000">
      <w:pPr>
        <w:pStyle w:val="Style_2"/>
        <w:widowControl w:val="1"/>
        <w:ind/>
        <w:jc w:val="both"/>
      </w:pPr>
    </w:p>
    <w:p w14:paraId="93000000">
      <w:pPr>
        <w:pStyle w:val="Style_3"/>
        <w:widowControl w:val="1"/>
        <w:ind w:firstLine="540"/>
        <w:jc w:val="both"/>
        <w:outlineLvl w:val="1"/>
      </w:pPr>
      <w:r>
        <w:rPr>
          <w:sz w:val="24"/>
        </w:rPr>
        <w:t>6. Дополнительные рекомендации</w:t>
      </w:r>
    </w:p>
    <w:p w14:paraId="94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6.1 Усилить проведение просветительской деятельности и разъяснительной работы, направленной на повышение уровня правовой культуры участников образовательных отношений.</w:t>
      </w:r>
    </w:p>
    <w:p w14:paraId="9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6.2 Разработать и утвердить локальные акты (положение о комиссии по урегулированию споров между участниками образовательных отношений, положение о нормах профессиональной этики педагогических работников, локальные акты организации о применении к обучающимся и снятии с обучающихся мер дисциплинарного взыскания, о постановке обучающихся на внутришкольный контроль и др.).</w:t>
      </w:r>
    </w:p>
    <w:p w14:paraId="9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6.3 Включать в работу медиацию и психологическое сопровождение всех сторон конфликтной ситуации.</w:t>
      </w:r>
    </w:p>
    <w:p w14:paraId="9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6.4 Уделять внимание случаям конфликта интересов.</w:t>
      </w:r>
    </w:p>
    <w:p w14:paraId="9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6.5 При поступлении жалоб на педагога - защищать его честь и достоинство, не допускать предвзятости и необъективного отношения к участникам конфликта.</w:t>
      </w:r>
    </w:p>
    <w:p w14:paraId="9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6.6 Оказывать морально-психологическую помощь и поддержку, анализировать и реагировать на запросы и потребности педагогического коллектива.</w:t>
      </w:r>
    </w:p>
    <w:p w14:paraId="9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6.7 Пресекать интриги, слухи, сплетни, проявления нечестности, подлости, лицемерия в коллективе.</w:t>
      </w:r>
    </w:p>
    <w:p w14:paraId="9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6.8 Обеспечить максимальную открытость и прозрачность деятельности в организации, документировать все решения.</w:t>
      </w:r>
    </w:p>
    <w:p w14:paraId="9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6.9 В особых ситуациях можно применять ускоренный порядок рассмотрения конфликта (по локальному акту).</w:t>
      </w:r>
    </w:p>
    <w:p w14:paraId="9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6.10 Проводить просветительскую работу со всеми участниками образовательных отношений, чтобы не допустить возникновения ситуаций, когда из-за недостатка необходимой информации появляются сомнения в законности действий педагогических работников.</w:t>
      </w:r>
    </w:p>
    <w:p w14:paraId="9E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6.11 Руководитель организации должен осуществлять контроль и проводить профилактические меры, направленные на минимизацию рисков повторения конфликтных ситуаций.</w:t>
      </w:r>
    </w:p>
    <w:p w14:paraId="9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6.12 Своевременно выявлять несовершеннолетних и семьи, находящихся в социально опасном положении для оказания им социально-психологической и педагогической помощи.</w:t>
      </w:r>
    </w:p>
    <w:p w14:paraId="A0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6.13 В целях выявления и устранения причин и условий, способствующих правонарушениям и антиобщественным действиям несовершеннолетних организовывать осуществление индивидуальной профилактической работы с детьми для предупреждения правонарушений либо для оказания социальной помощи и (или) реабилитации несовершеннолетних, а также с их родителями или иными законными представителями несовершеннолетних, если они не исполняют свои обязанности по их воспитанию, обучению и (или) содержанию (постановка обучающихся на внутришкольный учет.</w:t>
      </w:r>
    </w:p>
    <w:p w14:paraId="A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6.14 При необходимости по инициативе образовательной организации в индивидуальной профилактической работе с обучающимися могут участвовать иные органы и учреждения системы профилактики безнадзорности и правонарушений несовершеннолетних.</w:t>
      </w:r>
    </w:p>
    <w:p w14:paraId="A2000000">
      <w:pPr>
        <w:pStyle w:val="Style_2"/>
        <w:widowControl w:val="1"/>
        <w:ind w:firstLine="540"/>
        <w:jc w:val="both"/>
      </w:pPr>
    </w:p>
    <w:p w14:paraId="A3000000">
      <w:pPr>
        <w:pStyle w:val="Style_2"/>
        <w:widowControl w:val="1"/>
        <w:ind w:firstLine="540"/>
        <w:jc w:val="both"/>
      </w:pPr>
    </w:p>
    <w:p w14:paraId="A4000000">
      <w:pPr>
        <w:pStyle w:val="Style_2"/>
        <w:widowControl w:val="1"/>
        <w:ind w:firstLine="540"/>
        <w:jc w:val="both"/>
      </w:pPr>
    </w:p>
    <w:p w14:paraId="A5000000">
      <w:pPr>
        <w:pStyle w:val="Style_2"/>
        <w:widowControl w:val="1"/>
        <w:ind w:firstLine="540"/>
        <w:jc w:val="both"/>
      </w:pPr>
    </w:p>
    <w:p w14:paraId="A6000000">
      <w:pPr>
        <w:pStyle w:val="Style_2"/>
        <w:widowControl w:val="1"/>
        <w:ind w:firstLine="540"/>
        <w:jc w:val="both"/>
      </w:pPr>
    </w:p>
    <w:p w14:paraId="A7000000">
      <w:pPr>
        <w:pStyle w:val="Style_3"/>
        <w:widowControl w:val="1"/>
        <w:ind/>
        <w:jc w:val="center"/>
        <w:outlineLvl w:val="0"/>
      </w:pPr>
      <w:bookmarkStart w:id="1" w:name="P144"/>
      <w:bookmarkEnd w:id="1"/>
      <w:r>
        <w:rPr>
          <w:sz w:val="24"/>
        </w:rPr>
        <w:t>ТИПОВАЯ ИНСТРУКЦИЯ</w:t>
      </w:r>
    </w:p>
    <w:p w14:paraId="A8000000">
      <w:pPr>
        <w:pStyle w:val="Style_3"/>
        <w:widowControl w:val="1"/>
        <w:ind/>
        <w:jc w:val="center"/>
      </w:pPr>
      <w:r>
        <w:rPr>
          <w:sz w:val="24"/>
        </w:rPr>
        <w:t>КАК ОСТАНОВИТЬ АГРЕССИВНОЕ ПОВЕДЕНИЕ: ДЕЙСТВИЯ ПЕДАГОГА</w:t>
      </w:r>
    </w:p>
    <w:p w14:paraId="A9000000">
      <w:pPr>
        <w:pStyle w:val="Style_2"/>
        <w:widowControl w:val="1"/>
        <w:ind/>
        <w:jc w:val="both"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AA000000">
            <w:pPr>
              <w:pStyle w:val="Style_2"/>
              <w:widowControl w:val="1"/>
              <w:ind/>
              <w:jc w:val="both"/>
            </w:pPr>
            <w:r>
              <w:rPr>
                <w:color w:val="392C69"/>
                <w:sz w:val="24"/>
              </w:rPr>
              <w:t>КонсультантПлюс: примечание.</w:t>
            </w:r>
          </w:p>
          <w:p w14:paraId="AB000000">
            <w:pPr>
              <w:pStyle w:val="Style_2"/>
              <w:widowControl w:val="1"/>
              <w:ind/>
              <w:jc w:val="both"/>
            </w:pPr>
            <w:r>
              <w:rPr>
                <w:color w:val="392C69"/>
                <w:sz w:val="24"/>
              </w:rPr>
              <w:t xml:space="preserve">См. </w:t>
            </w:r>
            <w:r>
              <w:rPr>
                <w:color w:val="392C69"/>
                <w:sz w:val="24"/>
              </w:rPr>
              <w:t>Типовую инструкцию</w:t>
            </w:r>
            <w:r>
              <w:rPr>
                <w:color w:val="392C69"/>
                <w:sz w:val="24"/>
              </w:rPr>
              <w:t xml:space="preserve"> в формате PDF.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AC000000">
      <w:pPr>
        <w:pStyle w:val="Style_2"/>
        <w:widowControl w:val="1"/>
        <w:ind/>
        <w:jc w:val="both"/>
      </w:pPr>
    </w:p>
    <w:p w14:paraId="AD000000">
      <w:pPr>
        <w:pStyle w:val="Style_2"/>
        <w:widowControl w:val="1"/>
        <w:ind/>
        <w:jc w:val="both"/>
      </w:pPr>
    </w:p>
    <w:p w14:paraId="AE00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1" w:type="default"/>
      <w:headerReference r:id="rId3" w:type="first"/>
      <w:footerReference r:id="rId2" w:type="default"/>
      <w:footerReference r:id="rId4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7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7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&lt;Письмо&gt; Минпросвещения России от 19.12.2025 N ВЖ-2479/08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направлении типовых инструкций"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(вместе с "Типовой инструкц...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08.06.2026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&lt;Письмо&gt; Минпросвещения России от 19.12.2025 N ВЖ-2479/08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направлении типовых инструкций"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(вместе с "Типовой инструкц...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08.06.2026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ConsPlusNormal"/>
    <w:link w:val="Style_2_ch"/>
    <w:pPr>
      <w:widowControl w:val="0"/>
      <w:ind/>
    </w:pPr>
    <w:rPr>
      <w:rFonts w:ascii="Times New Roman" w:hAnsi="Times New Roman"/>
      <w:sz w:val="24"/>
    </w:rPr>
  </w:style>
  <w:style w:default="1" w:styleId="Style_2_ch" w:type="character">
    <w:name w:val="ConsPlusNormal"/>
    <w:link w:val="Style_2"/>
    <w:rPr>
      <w:rFonts w:ascii="Times New Roman" w:hAnsi="Times New Roman"/>
      <w:sz w:val="24"/>
    </w:rPr>
  </w:style>
  <w:style w:styleId="Style_4" w:type="paragraph">
    <w:name w:val="ConsPlusCell"/>
    <w:link w:val="Style_4_ch"/>
    <w:pPr>
      <w:widowControl w:val="0"/>
      <w:ind/>
    </w:pPr>
    <w:rPr>
      <w:rFonts w:ascii="Courier New" w:hAnsi="Courier New"/>
      <w:sz w:val="20"/>
    </w:rPr>
  </w:style>
  <w:style w:styleId="Style_4_ch" w:type="character">
    <w:name w:val="ConsPlusCell"/>
    <w:link w:val="Style_4"/>
    <w:rPr>
      <w:rFonts w:ascii="Courier New" w:hAnsi="Courier New"/>
      <w:sz w:val="20"/>
    </w:rPr>
  </w:style>
  <w:style w:styleId="Style_5" w:type="paragraph">
    <w:name w:val="toc 2"/>
    <w:next w:val="Style_6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7" w:type="paragraph">
    <w:name w:val="toc 4"/>
    <w:next w:val="Style_6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6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6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6" w:type="paragraph">
    <w:name w:val="Normal"/>
    <w:link w:val="Style_6_ch"/>
    <w:uiPriority w:val="0"/>
    <w:qFormat/>
  </w:style>
  <w:style w:styleId="Style_6_ch" w:type="character">
    <w:name w:val="Normal"/>
    <w:link w:val="Style_6"/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ConsPlusNonformat"/>
    <w:link w:val="Style_12_ch"/>
    <w:pPr>
      <w:widowControl w:val="0"/>
      <w:ind/>
    </w:pPr>
    <w:rPr>
      <w:rFonts w:ascii="Courier New" w:hAnsi="Courier New"/>
      <w:sz w:val="20"/>
    </w:rPr>
  </w:style>
  <w:style w:styleId="Style_12_ch" w:type="character">
    <w:name w:val="ConsPlusNonformat"/>
    <w:link w:val="Style_12"/>
    <w:rPr>
      <w:rFonts w:ascii="Courier New" w:hAnsi="Courier New"/>
      <w:sz w:val="20"/>
    </w:rPr>
  </w:style>
  <w:style w:styleId="Style_1" w:type="paragraph">
    <w:name w:val="ConsPlusTitlePage"/>
    <w:link w:val="Style_1_ch"/>
    <w:pPr>
      <w:widowControl w:val="0"/>
      <w:ind/>
    </w:pPr>
    <w:rPr>
      <w:rFonts w:ascii="Tahoma" w:hAnsi="Tahoma"/>
      <w:sz w:val="20"/>
    </w:rPr>
  </w:style>
  <w:style w:styleId="Style_1_ch" w:type="character">
    <w:name w:val="ConsPlusTitlePage"/>
    <w:link w:val="Style_1"/>
    <w:rPr>
      <w:rFonts w:ascii="Tahoma" w:hAnsi="Tahoma"/>
      <w:sz w:val="20"/>
    </w:rPr>
  </w:style>
  <w:style w:styleId="Style_13" w:type="paragraph">
    <w:name w:val="ConsPlusTitlePage"/>
    <w:link w:val="Style_13_ch"/>
    <w:pPr>
      <w:widowControl w:val="0"/>
      <w:ind/>
    </w:pPr>
    <w:rPr>
      <w:rFonts w:ascii="Tahoma" w:hAnsi="Tahoma"/>
      <w:sz w:val="20"/>
    </w:rPr>
  </w:style>
  <w:style w:styleId="Style_13_ch" w:type="character">
    <w:name w:val="ConsPlusTitlePage"/>
    <w:link w:val="Style_13"/>
    <w:rPr>
      <w:rFonts w:ascii="Tahoma" w:hAnsi="Tahoma"/>
      <w:sz w:val="20"/>
    </w:rPr>
  </w:style>
  <w:style w:styleId="Style_14" w:type="paragraph">
    <w:name w:val="ConsPlusJurTerm"/>
    <w:link w:val="Style_14_ch"/>
    <w:pPr>
      <w:widowControl w:val="0"/>
      <w:ind/>
    </w:pPr>
    <w:rPr>
      <w:rFonts w:ascii="Tahoma" w:hAnsi="Tahoma"/>
      <w:sz w:val="26"/>
    </w:rPr>
  </w:style>
  <w:style w:styleId="Style_14_ch" w:type="character">
    <w:name w:val="ConsPlusJurTerm"/>
    <w:link w:val="Style_14"/>
    <w:rPr>
      <w:rFonts w:ascii="Tahoma" w:hAnsi="Tahoma"/>
      <w:sz w:val="26"/>
    </w:rPr>
  </w:style>
  <w:style w:styleId="Style_15" w:type="paragraph">
    <w:name w:val="toc 3"/>
    <w:next w:val="Style_6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ConsPlusJurTerm"/>
    <w:link w:val="Style_16_ch"/>
    <w:pPr>
      <w:widowControl w:val="0"/>
      <w:ind/>
    </w:pPr>
    <w:rPr>
      <w:rFonts w:ascii="Tahoma" w:hAnsi="Tahoma"/>
      <w:sz w:val="26"/>
    </w:rPr>
  </w:style>
  <w:style w:styleId="Style_16_ch" w:type="character">
    <w:name w:val="ConsPlusJurTerm"/>
    <w:link w:val="Style_16"/>
    <w:rPr>
      <w:rFonts w:ascii="Tahoma" w:hAnsi="Tahoma"/>
      <w:sz w:val="26"/>
    </w:rPr>
  </w:style>
  <w:style w:styleId="Style_17" w:type="paragraph">
    <w:name w:val="ConsPlusCell"/>
    <w:link w:val="Style_17_ch"/>
    <w:pPr>
      <w:widowControl w:val="0"/>
      <w:ind/>
    </w:pPr>
    <w:rPr>
      <w:rFonts w:ascii="Courier New" w:hAnsi="Courier New"/>
      <w:sz w:val="20"/>
    </w:rPr>
  </w:style>
  <w:style w:styleId="Style_17_ch" w:type="character">
    <w:name w:val="ConsPlusCell"/>
    <w:link w:val="Style_17"/>
    <w:rPr>
      <w:rFonts w:ascii="Courier New" w:hAnsi="Courier New"/>
      <w:sz w:val="20"/>
    </w:rPr>
  </w:style>
  <w:style w:styleId="Style_18" w:type="paragraph">
    <w:name w:val="heading 5"/>
    <w:next w:val="Style_6"/>
    <w:link w:val="Style_1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8_ch" w:type="character">
    <w:name w:val="heading 5"/>
    <w:link w:val="Style_18"/>
    <w:rPr>
      <w:rFonts w:ascii="XO Thames" w:hAnsi="XO Thames"/>
      <w:b w:val="1"/>
      <w:sz w:val="22"/>
    </w:rPr>
  </w:style>
  <w:style w:styleId="Style_19" w:type="paragraph">
    <w:name w:val="heading 1"/>
    <w:next w:val="Style_6"/>
    <w:link w:val="Style_1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9_ch" w:type="character">
    <w:name w:val="heading 1"/>
    <w:link w:val="Style_19"/>
    <w:rPr>
      <w:rFonts w:ascii="XO Thames" w:hAnsi="XO Thames"/>
      <w:b w:val="1"/>
      <w:sz w:val="32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6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6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6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ConsPlusDocList"/>
    <w:link w:val="Style_26_ch"/>
    <w:pPr>
      <w:widowControl w:val="0"/>
      <w:ind/>
    </w:pPr>
    <w:rPr>
      <w:rFonts w:ascii="Tahoma" w:hAnsi="Tahoma"/>
      <w:sz w:val="18"/>
    </w:rPr>
  </w:style>
  <w:style w:styleId="Style_26_ch" w:type="character">
    <w:name w:val="ConsPlusDocList"/>
    <w:link w:val="Style_26"/>
    <w:rPr>
      <w:rFonts w:ascii="Tahoma" w:hAnsi="Tahoma"/>
      <w:sz w:val="18"/>
    </w:rPr>
  </w:style>
  <w:style w:styleId="Style_27" w:type="paragraph">
    <w:name w:val="ConsPlusTitle"/>
    <w:link w:val="Style_27_ch"/>
    <w:pPr>
      <w:widowControl w:val="0"/>
      <w:ind/>
    </w:pPr>
    <w:rPr>
      <w:rFonts w:ascii="Arial" w:hAnsi="Arial"/>
      <w:b w:val="1"/>
      <w:sz w:val="24"/>
    </w:rPr>
  </w:style>
  <w:style w:styleId="Style_27_ch" w:type="character">
    <w:name w:val="ConsPlusTitle"/>
    <w:link w:val="Style_27"/>
    <w:rPr>
      <w:rFonts w:ascii="Arial" w:hAnsi="Arial"/>
      <w:b w:val="1"/>
      <w:sz w:val="24"/>
    </w:rPr>
  </w:style>
  <w:style w:styleId="Style_28" w:type="paragraph">
    <w:name w:val="ConsPlusTextList"/>
    <w:link w:val="Style_28_ch"/>
    <w:pPr>
      <w:widowControl w:val="0"/>
      <w:ind/>
    </w:pPr>
    <w:rPr>
      <w:rFonts w:ascii="Times New Roman" w:hAnsi="Times New Roman"/>
      <w:sz w:val="24"/>
    </w:rPr>
  </w:style>
  <w:style w:styleId="Style_28_ch" w:type="character">
    <w:name w:val="ConsPlusTextList"/>
    <w:link w:val="Style_28"/>
    <w:rPr>
      <w:rFonts w:ascii="Times New Roman" w:hAnsi="Times New Roman"/>
      <w:sz w:val="24"/>
    </w:rPr>
  </w:style>
  <w:style w:styleId="Style_29" w:type="paragraph">
    <w:name w:val="toc 5"/>
    <w:next w:val="Style_6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ConsPlusTextList"/>
    <w:link w:val="Style_30_ch"/>
    <w:pPr>
      <w:widowControl w:val="0"/>
      <w:ind/>
    </w:pPr>
    <w:rPr>
      <w:rFonts w:ascii="Times New Roman" w:hAnsi="Times New Roman"/>
      <w:sz w:val="24"/>
    </w:rPr>
  </w:style>
  <w:style w:styleId="Style_30_ch" w:type="character">
    <w:name w:val="ConsPlusTextList"/>
    <w:link w:val="Style_30"/>
    <w:rPr>
      <w:rFonts w:ascii="Times New Roman" w:hAnsi="Times New Roman"/>
      <w:sz w:val="24"/>
    </w:rPr>
  </w:style>
  <w:style w:styleId="Style_3" w:type="paragraph">
    <w:name w:val="ConsPlusTitle"/>
    <w:link w:val="Style_3_ch"/>
    <w:pPr>
      <w:widowControl w:val="0"/>
      <w:ind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31" w:type="paragraph">
    <w:name w:val="Subtitle"/>
    <w:next w:val="Style_6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ConsPlusNonformat"/>
    <w:link w:val="Style_32_ch"/>
    <w:pPr>
      <w:widowControl w:val="0"/>
      <w:ind/>
    </w:pPr>
    <w:rPr>
      <w:rFonts w:ascii="Courier New" w:hAnsi="Courier New"/>
      <w:sz w:val="20"/>
    </w:rPr>
  </w:style>
  <w:style w:styleId="Style_32_ch" w:type="character">
    <w:name w:val="ConsPlusNonformat"/>
    <w:link w:val="Style_32"/>
    <w:rPr>
      <w:rFonts w:ascii="Courier New" w:hAnsi="Courier New"/>
      <w:sz w:val="20"/>
    </w:rPr>
  </w:style>
  <w:style w:styleId="Style_33" w:type="paragraph">
    <w:name w:val="Title"/>
    <w:next w:val="Style_6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ConsPlusTextList"/>
    <w:link w:val="Style_34_ch"/>
    <w:pPr>
      <w:widowControl w:val="0"/>
      <w:ind/>
    </w:pPr>
    <w:rPr>
      <w:rFonts w:ascii="Times New Roman" w:hAnsi="Times New Roman"/>
      <w:sz w:val="24"/>
    </w:rPr>
  </w:style>
  <w:style w:styleId="Style_34_ch" w:type="character">
    <w:name w:val="ConsPlusTextList"/>
    <w:link w:val="Style_34"/>
    <w:rPr>
      <w:rFonts w:ascii="Times New Roman" w:hAnsi="Times New Roman"/>
      <w:sz w:val="24"/>
    </w:rPr>
  </w:style>
  <w:style w:styleId="Style_35" w:type="paragraph">
    <w:name w:val="heading 4"/>
    <w:next w:val="Style_6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ConsPlusTextList"/>
    <w:link w:val="Style_36_ch"/>
    <w:pPr>
      <w:widowControl w:val="0"/>
      <w:ind/>
    </w:pPr>
    <w:rPr>
      <w:rFonts w:ascii="Times New Roman" w:hAnsi="Times New Roman"/>
      <w:sz w:val="24"/>
    </w:rPr>
  </w:style>
  <w:style w:styleId="Style_36_ch" w:type="character">
    <w:name w:val="ConsPlusTextList"/>
    <w:link w:val="Style_36"/>
    <w:rPr>
      <w:rFonts w:ascii="Times New Roman" w:hAnsi="Times New Roman"/>
      <w:sz w:val="24"/>
    </w:rPr>
  </w:style>
  <w:style w:styleId="Style_37" w:type="paragraph">
    <w:name w:val="heading 2"/>
    <w:next w:val="Style_6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38" w:type="paragraph">
    <w:name w:val="ConsPlusDocList"/>
    <w:link w:val="Style_38_ch"/>
    <w:pPr>
      <w:widowControl w:val="0"/>
      <w:ind/>
    </w:pPr>
    <w:rPr>
      <w:rFonts w:ascii="Tahoma" w:hAnsi="Tahoma"/>
      <w:sz w:val="18"/>
    </w:rPr>
  </w:style>
  <w:style w:styleId="Style_38_ch" w:type="character">
    <w:name w:val="ConsPlusDocList"/>
    <w:link w:val="Style_38"/>
    <w:rPr>
      <w:rFonts w:ascii="Tahoma" w:hAnsi="Tahoma"/>
      <w:sz w:val="1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2026-06-08T04:34:10Z</dcterms:created>
  <dcterms:modified xsi:type="dcterms:W3CDTF">2026-06-08T04:34:10Z</dcterms:modified>
</cp:coreProperties>
</file>